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45" w:rsidRDefault="00445A45" w:rsidP="00445A45">
      <w:pPr>
        <w:spacing w:line="276" w:lineRule="auto"/>
        <w:ind w:right="-30"/>
        <w:jc w:val="center"/>
        <w:rPr>
          <w:color w:val="000000"/>
          <w:w w:val="105"/>
        </w:rPr>
      </w:pPr>
      <w:r>
        <w:rPr>
          <w:color w:val="000000"/>
          <w:w w:val="105"/>
        </w:rPr>
        <w:t>MIT Sloan School of Management</w:t>
      </w:r>
    </w:p>
    <w:p w:rsidR="00445A45" w:rsidRDefault="00445A45" w:rsidP="00445A45">
      <w:pPr>
        <w:spacing w:line="360" w:lineRule="auto"/>
        <w:ind w:right="-29"/>
        <w:jc w:val="center"/>
        <w:rPr>
          <w:color w:val="000000"/>
          <w:w w:val="105"/>
        </w:rPr>
      </w:pPr>
      <w:r>
        <w:rPr>
          <w:color w:val="000000"/>
          <w:w w:val="105"/>
        </w:rPr>
        <w:t>Independent Activities Period (IAP) 2022</w:t>
      </w:r>
    </w:p>
    <w:p w:rsidR="00445A45" w:rsidRDefault="00445A45" w:rsidP="00445A45">
      <w:pPr>
        <w:ind w:right="-29"/>
        <w:rPr>
          <w:color w:val="000000"/>
          <w:w w:val="105"/>
        </w:rPr>
      </w:pPr>
    </w:p>
    <w:p w:rsidR="00445A45" w:rsidRDefault="00445A45" w:rsidP="00445A45">
      <w:pPr>
        <w:spacing w:line="276" w:lineRule="auto"/>
        <w:ind w:right="-30"/>
        <w:jc w:val="center"/>
        <w:rPr>
          <w:b/>
          <w:color w:val="000000"/>
          <w:w w:val="105"/>
        </w:rPr>
      </w:pPr>
      <w:r>
        <w:rPr>
          <w:b/>
          <w:color w:val="000000"/>
          <w:w w:val="105"/>
        </w:rPr>
        <w:t>15.620</w:t>
      </w:r>
    </w:p>
    <w:p w:rsidR="00445A45" w:rsidRDefault="00445A45" w:rsidP="00445A45">
      <w:pPr>
        <w:spacing w:line="288" w:lineRule="auto"/>
        <w:ind w:right="-29"/>
        <w:jc w:val="center"/>
        <w:rPr>
          <w:b/>
          <w:color w:val="000000"/>
          <w:w w:val="105"/>
          <w:sz w:val="28"/>
          <w:szCs w:val="28"/>
        </w:rPr>
      </w:pPr>
      <w:r>
        <w:rPr>
          <w:b/>
          <w:color w:val="000000"/>
          <w:w w:val="105"/>
          <w:sz w:val="28"/>
          <w:szCs w:val="28"/>
        </w:rPr>
        <w:t>Patent Law Fundamentals</w:t>
      </w:r>
    </w:p>
    <w:p w:rsidR="00445A45" w:rsidRDefault="00445A45" w:rsidP="00445A45">
      <w:pPr>
        <w:spacing w:line="360" w:lineRule="auto"/>
        <w:ind w:right="-29"/>
        <w:jc w:val="center"/>
        <w:rPr>
          <w:color w:val="000000"/>
          <w:w w:val="105"/>
        </w:rPr>
      </w:pPr>
      <w:r>
        <w:rPr>
          <w:color w:val="000000"/>
          <w:w w:val="105"/>
        </w:rPr>
        <w:t>Jeffrey A. Meldman</w:t>
      </w:r>
    </w:p>
    <w:p w:rsidR="00445A45" w:rsidRDefault="00445A45" w:rsidP="00445A45">
      <w:pPr>
        <w:ind w:right="-29"/>
        <w:rPr>
          <w:b/>
          <w:color w:val="000000"/>
          <w:w w:val="105"/>
        </w:rPr>
      </w:pPr>
    </w:p>
    <w:p w:rsidR="00445A45" w:rsidRDefault="00445A45" w:rsidP="00445A45">
      <w:pPr>
        <w:spacing w:line="360" w:lineRule="auto"/>
        <w:ind w:right="-29"/>
        <w:jc w:val="center"/>
        <w:rPr>
          <w:color w:val="000000"/>
          <w:w w:val="105"/>
        </w:rPr>
      </w:pPr>
      <w:r>
        <w:rPr>
          <w:color w:val="000000"/>
          <w:w w:val="105"/>
        </w:rPr>
        <w:t>3 units G, graded P/D/F</w:t>
      </w:r>
    </w:p>
    <w:p w:rsidR="00445A45" w:rsidRDefault="00445A45" w:rsidP="00445A45">
      <w:pPr>
        <w:spacing w:line="264" w:lineRule="auto"/>
        <w:ind w:right="-29"/>
        <w:jc w:val="center"/>
        <w:rPr>
          <w:color w:val="000000"/>
          <w:w w:val="105"/>
        </w:rPr>
      </w:pPr>
      <w:r>
        <w:rPr>
          <w:color w:val="000000"/>
          <w:w w:val="105"/>
        </w:rPr>
        <w:t>Listeners are welcome</w:t>
      </w:r>
    </w:p>
    <w:p w:rsidR="00445A45" w:rsidRDefault="00445A45" w:rsidP="00445A45">
      <w:pPr>
        <w:ind w:right="-29"/>
        <w:jc w:val="center"/>
        <w:rPr>
          <w:color w:val="000000"/>
          <w:w w:val="105"/>
        </w:rPr>
      </w:pPr>
      <w:r>
        <w:rPr>
          <w:color w:val="000000"/>
          <w:w w:val="105"/>
        </w:rPr>
        <w:t>(Please register for 15.620 with “Listener” status.)</w:t>
      </w:r>
    </w:p>
    <w:p w:rsidR="00445A45" w:rsidRDefault="00445A45" w:rsidP="00445A45">
      <w:pPr>
        <w:ind w:right="-29"/>
        <w:jc w:val="center"/>
        <w:rPr>
          <w:color w:val="000000"/>
          <w:w w:val="105"/>
        </w:rPr>
      </w:pPr>
    </w:p>
    <w:p w:rsidR="00445A45" w:rsidRDefault="00445A45" w:rsidP="00445A45">
      <w:pPr>
        <w:ind w:right="-29"/>
        <w:jc w:val="center"/>
        <w:rPr>
          <w:color w:val="000000"/>
          <w:w w:val="105"/>
          <w:sz w:val="20"/>
          <w:szCs w:val="20"/>
        </w:rPr>
      </w:pPr>
    </w:p>
    <w:p w:rsidR="00445A45" w:rsidRDefault="00445A45" w:rsidP="00445A45">
      <w:pPr>
        <w:spacing w:line="288" w:lineRule="auto"/>
        <w:ind w:right="-29"/>
        <w:jc w:val="center"/>
        <w:rPr>
          <w:color w:val="000000"/>
          <w:w w:val="105"/>
        </w:rPr>
      </w:pPr>
      <w:r>
        <w:rPr>
          <w:color w:val="000000"/>
          <w:w w:val="105"/>
        </w:rPr>
        <w:t>Meets (in person) in room E51-376</w:t>
      </w:r>
    </w:p>
    <w:p w:rsidR="00445A45" w:rsidRDefault="00445A45" w:rsidP="00445A45">
      <w:pPr>
        <w:spacing w:line="288" w:lineRule="auto"/>
        <w:ind w:right="-29"/>
        <w:jc w:val="center"/>
        <w:rPr>
          <w:color w:val="000000"/>
          <w:w w:val="105"/>
        </w:rPr>
      </w:pPr>
      <w:r>
        <w:rPr>
          <w:color w:val="000000"/>
          <w:w w:val="105"/>
        </w:rPr>
        <w:t>MWF, 1 to 3 pm</w:t>
      </w:r>
    </w:p>
    <w:p w:rsidR="00445A45" w:rsidRDefault="00445A45" w:rsidP="00445A45">
      <w:pPr>
        <w:spacing w:line="288" w:lineRule="auto"/>
        <w:ind w:right="-29"/>
        <w:jc w:val="center"/>
        <w:rPr>
          <w:color w:val="000000"/>
          <w:w w:val="105"/>
        </w:rPr>
      </w:pPr>
      <w:proofErr w:type="gramStart"/>
      <w:r>
        <w:rPr>
          <w:color w:val="000000"/>
          <w:w w:val="105"/>
        </w:rPr>
        <w:t>on</w:t>
      </w:r>
      <w:proofErr w:type="gramEnd"/>
      <w:r>
        <w:rPr>
          <w:color w:val="000000"/>
          <w:w w:val="105"/>
        </w:rPr>
        <w:t xml:space="preserve"> the following dates in January:</w:t>
      </w:r>
    </w:p>
    <w:tbl>
      <w:tblPr>
        <w:tblpPr w:leftFromText="180" w:rightFromText="180" w:vertAnchor="page" w:horzAnchor="margin" w:tblpXSpec="center" w:tblpY="6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76"/>
        <w:gridCol w:w="738"/>
        <w:gridCol w:w="576"/>
        <w:gridCol w:w="720"/>
      </w:tblGrid>
      <w:tr w:rsidR="00445A45" w:rsidTr="00445A45">
        <w:trPr>
          <w:trHeight w:val="432"/>
        </w:trPr>
        <w:tc>
          <w:tcPr>
            <w:tcW w:w="720" w:type="dxa"/>
            <w:tcBorders>
              <w:top w:val="nil"/>
              <w:left w:val="nil"/>
              <w:bottom w:val="single" w:sz="4" w:space="0" w:color="auto"/>
              <w:right w:val="nil"/>
            </w:tcBorders>
            <w:vAlign w:val="center"/>
            <w:hideMark/>
          </w:tcPr>
          <w:p w:rsidR="00445A45" w:rsidRDefault="00445A45" w:rsidP="00445A45">
            <w:pPr>
              <w:spacing w:line="360" w:lineRule="auto"/>
              <w:ind w:right="187"/>
              <w:jc w:val="right"/>
              <w:rPr>
                <w:b/>
                <w:sz w:val="20"/>
                <w:szCs w:val="20"/>
              </w:rPr>
            </w:pPr>
            <w:r>
              <w:rPr>
                <w:b/>
                <w:sz w:val="20"/>
                <w:szCs w:val="20"/>
              </w:rPr>
              <w:t>M</w:t>
            </w:r>
          </w:p>
        </w:tc>
        <w:tc>
          <w:tcPr>
            <w:tcW w:w="576" w:type="dxa"/>
            <w:tcBorders>
              <w:top w:val="nil"/>
              <w:left w:val="nil"/>
              <w:bottom w:val="single" w:sz="4" w:space="0" w:color="auto"/>
              <w:right w:val="nil"/>
            </w:tcBorders>
            <w:vAlign w:val="center"/>
          </w:tcPr>
          <w:p w:rsidR="00445A45" w:rsidRDefault="00445A45" w:rsidP="00445A45">
            <w:pPr>
              <w:ind w:right="180"/>
              <w:jc w:val="right"/>
              <w:rPr>
                <w:b/>
                <w:sz w:val="20"/>
                <w:szCs w:val="20"/>
              </w:rPr>
            </w:pPr>
          </w:p>
        </w:tc>
        <w:tc>
          <w:tcPr>
            <w:tcW w:w="738" w:type="dxa"/>
            <w:tcBorders>
              <w:top w:val="nil"/>
              <w:left w:val="nil"/>
              <w:bottom w:val="single" w:sz="4" w:space="0" w:color="auto"/>
              <w:right w:val="nil"/>
            </w:tcBorders>
            <w:vAlign w:val="center"/>
            <w:hideMark/>
          </w:tcPr>
          <w:p w:rsidR="00445A45" w:rsidRDefault="00445A45" w:rsidP="00445A45">
            <w:pPr>
              <w:spacing w:line="360" w:lineRule="auto"/>
              <w:ind w:right="187"/>
              <w:jc w:val="right"/>
              <w:rPr>
                <w:b/>
                <w:sz w:val="20"/>
                <w:szCs w:val="20"/>
              </w:rPr>
            </w:pPr>
            <w:r>
              <w:rPr>
                <w:b/>
                <w:sz w:val="20"/>
                <w:szCs w:val="20"/>
              </w:rPr>
              <w:t>W</w:t>
            </w:r>
          </w:p>
        </w:tc>
        <w:tc>
          <w:tcPr>
            <w:tcW w:w="576" w:type="dxa"/>
            <w:tcBorders>
              <w:top w:val="nil"/>
              <w:left w:val="nil"/>
              <w:bottom w:val="single" w:sz="4" w:space="0" w:color="auto"/>
              <w:right w:val="nil"/>
            </w:tcBorders>
            <w:vAlign w:val="center"/>
          </w:tcPr>
          <w:p w:rsidR="00445A45" w:rsidRDefault="00445A45" w:rsidP="00445A45">
            <w:pPr>
              <w:ind w:right="180"/>
              <w:jc w:val="right"/>
              <w:rPr>
                <w:b/>
                <w:sz w:val="20"/>
                <w:szCs w:val="20"/>
              </w:rPr>
            </w:pPr>
          </w:p>
        </w:tc>
        <w:tc>
          <w:tcPr>
            <w:tcW w:w="720" w:type="dxa"/>
            <w:tcBorders>
              <w:top w:val="nil"/>
              <w:left w:val="nil"/>
              <w:bottom w:val="single" w:sz="4" w:space="0" w:color="auto"/>
              <w:right w:val="nil"/>
            </w:tcBorders>
            <w:vAlign w:val="center"/>
            <w:hideMark/>
          </w:tcPr>
          <w:p w:rsidR="00445A45" w:rsidRDefault="00445A45" w:rsidP="00445A45">
            <w:pPr>
              <w:spacing w:line="360" w:lineRule="auto"/>
              <w:ind w:right="144"/>
              <w:jc w:val="right"/>
              <w:rPr>
                <w:b/>
                <w:sz w:val="20"/>
                <w:szCs w:val="20"/>
              </w:rPr>
            </w:pPr>
            <w:r>
              <w:rPr>
                <w:b/>
                <w:sz w:val="20"/>
                <w:szCs w:val="20"/>
              </w:rPr>
              <w:t xml:space="preserve"> F</w:t>
            </w:r>
          </w:p>
        </w:tc>
      </w:tr>
      <w:tr w:rsidR="00445A45" w:rsidTr="00445A45">
        <w:trPr>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80"/>
              <w:rPr>
                <w:b/>
              </w:rPr>
            </w:pPr>
            <w:r>
              <w:rPr>
                <w:b/>
              </w:rPr>
              <w:t xml:space="preserve"> 10</w:t>
            </w: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38"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80"/>
              <w:jc w:val="right"/>
              <w:rPr>
                <w:b/>
              </w:rPr>
            </w:pPr>
            <w:r>
              <w:rPr>
                <w:b/>
              </w:rPr>
              <w:t>12</w:t>
            </w: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left="-108" w:right="144"/>
              <w:jc w:val="right"/>
              <w:rPr>
                <w:b/>
              </w:rPr>
            </w:pPr>
            <w:r>
              <w:rPr>
                <w:b/>
              </w:rPr>
              <w:t>14</w:t>
            </w:r>
          </w:p>
        </w:tc>
      </w:tr>
      <w:tr w:rsidR="00445A45" w:rsidTr="00445A45">
        <w:trPr>
          <w:trHeight w:val="432"/>
        </w:trPr>
        <w:tc>
          <w:tcPr>
            <w:tcW w:w="720"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38"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80"/>
              <w:jc w:val="right"/>
              <w:rPr>
                <w:b/>
              </w:rPr>
            </w:pPr>
            <w:r>
              <w:rPr>
                <w:b/>
              </w:rPr>
              <w:t>19</w:t>
            </w: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44"/>
              <w:jc w:val="right"/>
              <w:rPr>
                <w:b/>
              </w:rPr>
            </w:pPr>
            <w:r>
              <w:rPr>
                <w:b/>
              </w:rPr>
              <w:t>21</w:t>
            </w:r>
          </w:p>
        </w:tc>
      </w:tr>
      <w:tr w:rsidR="00445A45" w:rsidTr="00445A45">
        <w:trPr>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80"/>
              <w:jc w:val="right"/>
              <w:rPr>
                <w:b/>
              </w:rPr>
            </w:pPr>
            <w:r>
              <w:rPr>
                <w:b/>
              </w:rPr>
              <w:t>24</w:t>
            </w: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38" w:type="dxa"/>
            <w:tcBorders>
              <w:top w:val="single" w:sz="4" w:space="0" w:color="auto"/>
              <w:left w:val="single" w:sz="4" w:space="0" w:color="auto"/>
              <w:bottom w:val="single" w:sz="4" w:space="0" w:color="auto"/>
              <w:right w:val="single" w:sz="4" w:space="0" w:color="auto"/>
            </w:tcBorders>
            <w:vAlign w:val="center"/>
            <w:hideMark/>
          </w:tcPr>
          <w:p w:rsidR="00445A45" w:rsidRDefault="00445A45" w:rsidP="00445A45">
            <w:pPr>
              <w:ind w:right="180"/>
              <w:jc w:val="right"/>
              <w:rPr>
                <w:b/>
              </w:rPr>
            </w:pPr>
            <w:r>
              <w:rPr>
                <w:b/>
              </w:rPr>
              <w:t>26</w:t>
            </w:r>
          </w:p>
        </w:tc>
        <w:tc>
          <w:tcPr>
            <w:tcW w:w="576"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80"/>
              <w:jc w:val="right"/>
              <w:rPr>
                <w:b/>
              </w:rPr>
            </w:pPr>
          </w:p>
        </w:tc>
        <w:tc>
          <w:tcPr>
            <w:tcW w:w="720" w:type="dxa"/>
            <w:tcBorders>
              <w:top w:val="single" w:sz="4" w:space="0" w:color="auto"/>
              <w:left w:val="single" w:sz="4" w:space="0" w:color="auto"/>
              <w:bottom w:val="single" w:sz="4" w:space="0" w:color="auto"/>
              <w:right w:val="single" w:sz="4" w:space="0" w:color="auto"/>
            </w:tcBorders>
            <w:vAlign w:val="center"/>
          </w:tcPr>
          <w:p w:rsidR="00445A45" w:rsidRDefault="00445A45" w:rsidP="00445A45">
            <w:pPr>
              <w:ind w:right="144"/>
              <w:jc w:val="right"/>
              <w:rPr>
                <w:b/>
              </w:rPr>
            </w:pPr>
          </w:p>
        </w:tc>
      </w:tr>
    </w:tbl>
    <w:p w:rsidR="00445A45" w:rsidRDefault="00445A45" w:rsidP="00445A45">
      <w:pPr>
        <w:spacing w:line="360" w:lineRule="auto"/>
        <w:ind w:left="187" w:right="187"/>
        <w:jc w:val="center"/>
        <w:rPr>
          <w:rFonts w:ascii="Arial" w:hAnsi="Arial" w:cs="Arial"/>
          <w:b/>
          <w:spacing w:val="68"/>
          <w:sz w:val="28"/>
          <w:szCs w:val="28"/>
        </w:rPr>
      </w:pPr>
    </w:p>
    <w:p w:rsidR="00445A45" w:rsidRDefault="00445A45" w:rsidP="00445A45">
      <w:pPr>
        <w:spacing w:line="288" w:lineRule="auto"/>
        <w:ind w:right="-29"/>
        <w:jc w:val="center"/>
        <w:rPr>
          <w:color w:val="000000"/>
          <w:w w:val="105"/>
        </w:rPr>
      </w:pPr>
    </w:p>
    <w:p w:rsidR="00445A45" w:rsidRDefault="00445A45" w:rsidP="00445A45">
      <w:pPr>
        <w:spacing w:line="288" w:lineRule="auto"/>
        <w:ind w:right="-29"/>
        <w:jc w:val="center"/>
        <w:rPr>
          <w:color w:val="000000"/>
          <w:w w:val="105"/>
        </w:rPr>
      </w:pPr>
    </w:p>
    <w:p w:rsidR="00445A45" w:rsidRDefault="00445A45" w:rsidP="00445A45">
      <w:pPr>
        <w:spacing w:line="288" w:lineRule="auto"/>
        <w:ind w:right="-29"/>
        <w:jc w:val="center"/>
        <w:rPr>
          <w:color w:val="000000"/>
          <w:w w:val="105"/>
        </w:rPr>
      </w:pPr>
    </w:p>
    <w:p w:rsidR="00445A45" w:rsidRDefault="00445A45" w:rsidP="00445A45">
      <w:pPr>
        <w:spacing w:line="288" w:lineRule="auto"/>
        <w:ind w:right="-29"/>
        <w:jc w:val="center"/>
        <w:rPr>
          <w:color w:val="000000"/>
          <w:w w:val="105"/>
        </w:rPr>
      </w:pPr>
    </w:p>
    <w:p w:rsidR="00445A45" w:rsidRDefault="00445A45" w:rsidP="00445A45">
      <w:pPr>
        <w:ind w:right="-29"/>
        <w:rPr>
          <w:color w:val="000000"/>
          <w:w w:val="105"/>
        </w:rPr>
      </w:pPr>
      <w:r>
        <w:rPr>
          <w:color w:val="000000"/>
          <w:w w:val="105"/>
        </w:rPr>
        <w:tab/>
        <w:t xml:space="preserve">                                            </w:t>
      </w:r>
    </w:p>
    <w:p w:rsidR="00445A45" w:rsidRDefault="00445A45" w:rsidP="00445A45">
      <w:pPr>
        <w:ind w:left="180" w:right="180"/>
        <w:rPr>
          <w:color w:val="000000"/>
          <w:w w:val="105"/>
        </w:rPr>
      </w:pPr>
    </w:p>
    <w:p w:rsidR="00445A45" w:rsidRDefault="001C61BA" w:rsidP="00445A45">
      <w:pPr>
        <w:ind w:left="180" w:right="180"/>
        <w:rPr>
          <w:color w:val="000000"/>
          <w:w w:val="105"/>
        </w:rPr>
      </w:pPr>
      <w:r>
        <w:rPr>
          <w:noProof/>
        </w:rPr>
        <mc:AlternateContent>
          <mc:Choice Requires="wps">
            <w:drawing>
              <wp:anchor distT="0" distB="0" distL="114300" distR="114300" simplePos="0" relativeHeight="251660288" behindDoc="0" locked="0" layoutInCell="1" allowOverlap="1" wp14:anchorId="71DA9B3A" wp14:editId="6A820271">
                <wp:simplePos x="0" y="0"/>
                <wp:positionH relativeFrom="column">
                  <wp:posOffset>76200</wp:posOffset>
                </wp:positionH>
                <wp:positionV relativeFrom="paragraph">
                  <wp:posOffset>144780</wp:posOffset>
                </wp:positionV>
                <wp:extent cx="5743575" cy="635"/>
                <wp:effectExtent l="9525" t="6985"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3DB32" id="_x0000_t32" coordsize="21600,21600" o:spt="32" o:oned="t" path="m,l21600,21600e" filled="f">
                <v:path arrowok="t" fillok="f" o:connecttype="none"/>
                <o:lock v:ext="edit" shapetype="t"/>
              </v:shapetype>
              <v:shape id="Straight Arrow Connector 3" o:spid="_x0000_s1026" type="#_x0000_t32" style="position:absolute;margin-left:6pt;margin-top:11.4pt;width:452.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"/>
            </w:pict>
          </mc:Fallback>
        </mc:AlternateContent>
      </w:r>
    </w:p>
    <w:p w:rsidR="001C61BA" w:rsidRDefault="001C61BA" w:rsidP="00445A45">
      <w:pPr>
        <w:ind w:left="180" w:right="180"/>
        <w:rPr>
          <w:color w:val="000000"/>
          <w:w w:val="105"/>
        </w:rPr>
      </w:pPr>
    </w:p>
    <w:p w:rsidR="00445A45" w:rsidRDefault="00445A45" w:rsidP="00445A45">
      <w:pPr>
        <w:ind w:left="180" w:right="180"/>
        <w:rPr>
          <w:color w:val="000000"/>
          <w:w w:val="105"/>
        </w:rPr>
      </w:pPr>
      <w:r>
        <w:rPr>
          <w:color w:val="000000"/>
          <w:w w:val="105"/>
        </w:rPr>
        <w:t xml:space="preserve">Intensive introduction to the basic provisions of U.S. patent law, emphasizing the legal requirements for patentability and the legal process of applying for a patent. </w:t>
      </w:r>
    </w:p>
    <w:p w:rsidR="00445A45" w:rsidRDefault="00445A45" w:rsidP="00445A45">
      <w:pPr>
        <w:ind w:left="180" w:right="180"/>
        <w:rPr>
          <w:color w:val="000000"/>
          <w:w w:val="105"/>
          <w:sz w:val="16"/>
          <w:szCs w:val="16"/>
        </w:rPr>
      </w:pPr>
    </w:p>
    <w:p w:rsidR="00445A45" w:rsidRDefault="00445A45" w:rsidP="00445A45">
      <w:pPr>
        <w:spacing w:line="276" w:lineRule="auto"/>
        <w:ind w:left="187" w:right="187"/>
        <w:rPr>
          <w:b/>
          <w:color w:val="000000"/>
          <w:w w:val="105"/>
        </w:rPr>
      </w:pPr>
      <w:r>
        <w:rPr>
          <w:b/>
          <w:color w:val="000000"/>
          <w:w w:val="105"/>
        </w:rPr>
        <w:t xml:space="preserve">      Designed for undergrads and grad students in all MIT departments.</w:t>
      </w:r>
    </w:p>
    <w:p w:rsidR="00445A45" w:rsidRDefault="00445A45" w:rsidP="00445A45">
      <w:pPr>
        <w:ind w:left="180" w:right="180"/>
        <w:rPr>
          <w:b/>
          <w:color w:val="000000"/>
          <w:w w:val="105"/>
        </w:rPr>
      </w:pPr>
      <w:r>
        <w:rPr>
          <w:b/>
          <w:color w:val="000000"/>
          <w:w w:val="105"/>
        </w:rPr>
        <w:t xml:space="preserve">      May be taken for 3 units G credit (graded P/D/F) or attended as a listener.</w:t>
      </w:r>
    </w:p>
    <w:p w:rsidR="00445A45" w:rsidRDefault="00445A45" w:rsidP="00445A45">
      <w:pPr>
        <w:ind w:left="180" w:right="180"/>
        <w:rPr>
          <w:color w:val="000000"/>
          <w:w w:val="105"/>
          <w:sz w:val="16"/>
          <w:szCs w:val="16"/>
        </w:rPr>
      </w:pPr>
    </w:p>
    <w:p w:rsidR="00445A45" w:rsidRDefault="00445A45" w:rsidP="00445A45">
      <w:pPr>
        <w:ind w:left="180" w:right="270"/>
        <w:rPr>
          <w:color w:val="000000"/>
          <w:w w:val="105"/>
        </w:rPr>
      </w:pPr>
      <w:r>
        <w:rPr>
          <w:color w:val="000000"/>
          <w:w w:val="105"/>
        </w:rPr>
        <w:t>Reading materials include key sections of the U.S. patent statute (Title 35, U.S. Code) and related federal case law. Readings and lecture slides will be posted on the Canvas IAP 2022 website for 15.620, to which registered listeners will have access as well. There are no textbooks or course packs to purchase.</w:t>
      </w:r>
    </w:p>
    <w:p w:rsidR="00445A45" w:rsidRDefault="00445A45" w:rsidP="00445A45">
      <w:pPr>
        <w:ind w:left="180" w:right="180"/>
        <w:rPr>
          <w:color w:val="000000"/>
          <w:w w:val="105"/>
          <w:sz w:val="16"/>
          <w:szCs w:val="16"/>
        </w:rPr>
      </w:pPr>
    </w:p>
    <w:p w:rsidR="00445A45" w:rsidRDefault="00445A45" w:rsidP="00445A45">
      <w:pPr>
        <w:ind w:left="180" w:right="90"/>
        <w:rPr>
          <w:color w:val="000000"/>
          <w:spacing w:val="-4"/>
          <w:w w:val="105"/>
        </w:rPr>
      </w:pPr>
      <w:r>
        <w:rPr>
          <w:color w:val="000000"/>
          <w:spacing w:val="-4"/>
          <w:w w:val="105"/>
        </w:rPr>
        <w:t xml:space="preserve">For students taking 15.620 for credit, there will be an end-of-term quiz during the final class on Wednesday, January 26. Students’ grades will be determined by performance on the quiz.  </w:t>
      </w:r>
    </w:p>
    <w:p w:rsidR="00445A45" w:rsidRDefault="00445A45" w:rsidP="00445A45">
      <w:pPr>
        <w:spacing w:line="360" w:lineRule="auto"/>
        <w:ind w:left="187" w:right="187"/>
        <w:rPr>
          <w:color w:val="000000"/>
          <w:spacing w:val="-4"/>
          <w:w w:val="105"/>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149860</wp:posOffset>
                </wp:positionV>
                <wp:extent cx="5743575" cy="635"/>
                <wp:effectExtent l="9525" t="6985"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CE340" id="Straight Arrow Connector 1" o:spid="_x0000_s1026" type="#_x0000_t32" style="position:absolute;margin-left:6pt;margin-top:11.8pt;width:452.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"/>
            </w:pict>
          </mc:Fallback>
        </mc:AlternateContent>
      </w:r>
    </w:p>
    <w:p w:rsidR="00445A45" w:rsidRDefault="00445A45" w:rsidP="00445A45">
      <w:pPr>
        <w:ind w:left="180" w:right="270"/>
        <w:rPr>
          <w:i/>
          <w:color w:val="000000"/>
          <w:spacing w:val="-4"/>
          <w:w w:val="105"/>
        </w:rPr>
      </w:pPr>
      <w:r>
        <w:rPr>
          <w:i/>
          <w:color w:val="000000"/>
          <w:spacing w:val="-4"/>
          <w:w w:val="105"/>
        </w:rPr>
        <w:t>Jeff Meldman is Senior Lecturer in the MIT Sloan School of Management.  He received his SB, SM, and PhD degrees from MIT (EECS) and his JD degree from Harvard Law School. His teaching and research focus on technology-related law and on computer modeling of legal reasoning and legal procedure.</w:t>
      </w:r>
    </w:p>
    <w:p w:rsidR="001C61BA" w:rsidRDefault="00445A45" w:rsidP="00445A45">
      <w:pPr>
        <w:rPr>
          <w:i/>
          <w:color w:val="000000"/>
          <w:spacing w:val="-4"/>
          <w:w w:val="105"/>
        </w:rPr>
      </w:pPr>
      <w:r>
        <w:rPr>
          <w:i/>
          <w:color w:val="000000"/>
          <w:spacing w:val="-4"/>
          <w:w w:val="105"/>
        </w:rPr>
        <w:t xml:space="preserve">                                                              </w:t>
      </w:r>
      <w:r>
        <w:rPr>
          <w:i/>
          <w:color w:val="000000"/>
          <w:spacing w:val="-4"/>
          <w:w w:val="105"/>
        </w:rPr>
        <w:tab/>
        <w:t xml:space="preserve">  </w:t>
      </w:r>
      <w:hyperlink r:id="rId5" w:history="1">
        <w:r>
          <w:rPr>
            <w:rStyle w:val="Hyperlink"/>
            <w:i/>
            <w:spacing w:val="-4"/>
            <w:w w:val="105"/>
          </w:rPr>
          <w:t>jmeldman@mit.edu</w:t>
        </w:r>
      </w:hyperlink>
      <w:proofErr w:type="gramStart"/>
      <w:r>
        <w:rPr>
          <w:i/>
          <w:color w:val="000000"/>
          <w:spacing w:val="-4"/>
          <w:w w:val="105"/>
        </w:rPr>
        <w:t>,  (</w:t>
      </w:r>
      <w:proofErr w:type="gramEnd"/>
      <w:r>
        <w:rPr>
          <w:i/>
          <w:color w:val="000000"/>
          <w:spacing w:val="-4"/>
          <w:w w:val="105"/>
        </w:rPr>
        <w:t>617) 253-4932,  E62-317</w:t>
      </w:r>
    </w:p>
    <w:p w:rsidR="001C61BA" w:rsidRDefault="001C61BA">
      <w:pPr>
        <w:widowControl/>
        <w:kinsoku/>
        <w:spacing w:after="160" w:line="259" w:lineRule="auto"/>
        <w:rPr>
          <w:i/>
          <w:color w:val="000000"/>
          <w:spacing w:val="-4"/>
          <w:w w:val="105"/>
        </w:rPr>
      </w:pPr>
      <w:r>
        <w:rPr>
          <w:i/>
          <w:color w:val="000000"/>
          <w:spacing w:val="-4"/>
          <w:w w:val="105"/>
        </w:rPr>
        <w:br w:type="page"/>
      </w:r>
    </w:p>
    <w:p w:rsidR="001C61BA" w:rsidRDefault="001C61BA" w:rsidP="001C61BA">
      <w:pPr>
        <w:spacing w:line="276" w:lineRule="auto"/>
        <w:ind w:right="-29"/>
        <w:jc w:val="center"/>
        <w:rPr>
          <w:b/>
          <w:color w:val="000000"/>
          <w:w w:val="105"/>
        </w:rPr>
      </w:pPr>
      <w:r>
        <w:rPr>
          <w:b/>
          <w:color w:val="000000"/>
          <w:w w:val="105"/>
        </w:rPr>
        <w:lastRenderedPageBreak/>
        <w:t>15.620</w:t>
      </w:r>
    </w:p>
    <w:p w:rsidR="001C61BA" w:rsidRDefault="001C61BA" w:rsidP="001C61BA">
      <w:pPr>
        <w:spacing w:line="288" w:lineRule="auto"/>
        <w:ind w:right="-29"/>
        <w:jc w:val="center"/>
        <w:rPr>
          <w:b/>
          <w:color w:val="000000"/>
          <w:w w:val="105"/>
          <w:sz w:val="28"/>
          <w:szCs w:val="28"/>
        </w:rPr>
      </w:pPr>
      <w:r>
        <w:rPr>
          <w:b/>
          <w:color w:val="000000"/>
          <w:w w:val="105"/>
          <w:sz w:val="28"/>
          <w:szCs w:val="28"/>
        </w:rPr>
        <w:t>Patent Law Fundamentals</w:t>
      </w:r>
    </w:p>
    <w:p w:rsidR="001C61BA" w:rsidRDefault="001C61BA" w:rsidP="001C61BA">
      <w:pPr>
        <w:ind w:right="-29"/>
        <w:jc w:val="center"/>
        <w:rPr>
          <w:color w:val="000000"/>
          <w:w w:val="105"/>
        </w:rPr>
      </w:pPr>
      <w:r>
        <w:rPr>
          <w:color w:val="000000"/>
          <w:w w:val="105"/>
        </w:rPr>
        <w:t>IAP January 2022</w:t>
      </w:r>
    </w:p>
    <w:p w:rsidR="001C61BA" w:rsidRDefault="001C61BA" w:rsidP="001C61BA">
      <w:pPr>
        <w:spacing w:line="312" w:lineRule="auto"/>
        <w:ind w:right="-29"/>
        <w:jc w:val="center"/>
        <w:rPr>
          <w:color w:val="000000"/>
          <w:w w:val="105"/>
        </w:rPr>
      </w:pPr>
    </w:p>
    <w:p w:rsidR="001C61BA" w:rsidRDefault="001C61BA" w:rsidP="001C61BA">
      <w:pPr>
        <w:spacing w:line="264" w:lineRule="auto"/>
        <w:ind w:right="-29"/>
        <w:jc w:val="center"/>
        <w:rPr>
          <w:color w:val="000000"/>
          <w:w w:val="105"/>
        </w:rPr>
      </w:pPr>
      <w:r>
        <w:rPr>
          <w:color w:val="000000"/>
          <w:w w:val="105"/>
        </w:rPr>
        <w:t>MWF, January 10 through 26, 1 to 3 pm</w:t>
      </w:r>
    </w:p>
    <w:p w:rsidR="001C61BA" w:rsidRDefault="001C61BA" w:rsidP="001C61BA">
      <w:pPr>
        <w:spacing w:line="264" w:lineRule="auto"/>
        <w:ind w:right="-29"/>
        <w:jc w:val="center"/>
        <w:rPr>
          <w:color w:val="000000"/>
          <w:w w:val="105"/>
        </w:rPr>
      </w:pPr>
      <w:r>
        <w:rPr>
          <w:color w:val="000000"/>
          <w:w w:val="105"/>
        </w:rPr>
        <w:t>Room E51-376 (in person)</w:t>
      </w:r>
    </w:p>
    <w:p w:rsidR="001C61BA" w:rsidRDefault="001C61BA" w:rsidP="001C61BA">
      <w:pPr>
        <w:ind w:right="-29"/>
        <w:jc w:val="center"/>
        <w:rPr>
          <w:color w:val="000000"/>
          <w:w w:val="105"/>
        </w:rPr>
      </w:pPr>
      <w:r>
        <w:rPr>
          <w:color w:val="000000"/>
          <w:w w:val="105"/>
        </w:rPr>
        <w:t>3 units G, graded P/D/F</w:t>
      </w:r>
    </w:p>
    <w:p w:rsidR="001C61BA" w:rsidRDefault="001C61BA" w:rsidP="001C61BA">
      <w:pPr>
        <w:ind w:right="-29"/>
        <w:jc w:val="center"/>
        <w:rPr>
          <w:color w:val="000000"/>
          <w:w w:val="105"/>
        </w:rPr>
      </w:pPr>
    </w:p>
    <w:p w:rsidR="001C61BA" w:rsidRDefault="001C61BA" w:rsidP="001C61BA">
      <w:pPr>
        <w:ind w:right="-29"/>
        <w:jc w:val="center"/>
        <w:rPr>
          <w:color w:val="000000"/>
          <w:w w:val="105"/>
        </w:rPr>
      </w:pPr>
      <w:r>
        <w:rPr>
          <w:color w:val="000000"/>
          <w:w w:val="105"/>
        </w:rPr>
        <w:t>(Registered listeners are welcome at any or all of the lectures</w:t>
      </w:r>
    </w:p>
    <w:p w:rsidR="001C61BA" w:rsidRDefault="001C61BA" w:rsidP="001C61BA">
      <w:pPr>
        <w:ind w:right="-29"/>
        <w:jc w:val="center"/>
        <w:rPr>
          <w:color w:val="000000"/>
          <w:w w:val="105"/>
        </w:rPr>
      </w:pPr>
      <w:r>
        <w:rPr>
          <w:color w:val="000000"/>
          <w:w w:val="105"/>
        </w:rPr>
        <w:t>and will have access to reading materials and slides.)</w:t>
      </w:r>
    </w:p>
    <w:p w:rsidR="001C61BA" w:rsidRDefault="001C61BA" w:rsidP="001C61BA">
      <w:pPr>
        <w:spacing w:line="360" w:lineRule="auto"/>
        <w:ind w:right="-29"/>
        <w:rPr>
          <w:b/>
          <w:i/>
          <w:color w:val="000000"/>
          <w:spacing w:val="22"/>
          <w:w w:val="105"/>
          <w:sz w:val="16"/>
          <w:szCs w:val="16"/>
        </w:rPr>
      </w:pPr>
    </w:p>
    <w:p w:rsidR="001C61BA" w:rsidRDefault="001C61BA" w:rsidP="001C61BA">
      <w:pPr>
        <w:ind w:right="-29"/>
        <w:jc w:val="center"/>
        <w:rPr>
          <w:b/>
          <w:caps/>
          <w:color w:val="000000"/>
          <w:w w:val="105"/>
        </w:rPr>
      </w:pPr>
      <w:r>
        <w:rPr>
          <w:b/>
          <w:caps/>
          <w:color w:val="000000"/>
          <w:w w:val="105"/>
        </w:rPr>
        <w:t>Schedule of Topics</w:t>
      </w:r>
    </w:p>
    <w:p w:rsidR="001C61BA" w:rsidRDefault="001C61BA" w:rsidP="001C61BA">
      <w:pPr>
        <w:ind w:right="-29"/>
        <w:jc w:val="center"/>
        <w:rPr>
          <w:b/>
          <w:color w:val="000000"/>
          <w:w w:val="105"/>
          <w:sz w:val="28"/>
          <w:szCs w:val="28"/>
        </w:rPr>
      </w:pPr>
    </w:p>
    <w:tbl>
      <w:tblPr>
        <w:tblW w:w="0" w:type="auto"/>
        <w:tblLook w:val="04A0" w:firstRow="1" w:lastRow="0" w:firstColumn="1" w:lastColumn="0" w:noHBand="0" w:noVBand="1"/>
      </w:tblPr>
      <w:tblGrid>
        <w:gridCol w:w="1707"/>
        <w:gridCol w:w="7653"/>
      </w:tblGrid>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Mon</w:t>
            </w:r>
            <w:r>
              <w:rPr>
                <w:b/>
                <w:color w:val="000000"/>
                <w:w w:val="105"/>
              </w:rPr>
              <w:tab/>
              <w:t>Jan 10</w:t>
            </w:r>
          </w:p>
        </w:tc>
        <w:tc>
          <w:tcPr>
            <w:tcW w:w="7830" w:type="dxa"/>
          </w:tcPr>
          <w:p w:rsidR="001C61BA" w:rsidRDefault="001C61BA" w:rsidP="001C61BA">
            <w:pPr>
              <w:ind w:right="-29"/>
              <w:rPr>
                <w:b/>
                <w:color w:val="000000"/>
                <w:w w:val="105"/>
              </w:rPr>
            </w:pPr>
            <w:r>
              <w:rPr>
                <w:b/>
                <w:color w:val="000000"/>
                <w:w w:val="105"/>
              </w:rPr>
              <w:t>Introduction to Patents and Intellectual Property</w:t>
            </w:r>
          </w:p>
          <w:p w:rsidR="001C61BA" w:rsidRDefault="001C61BA" w:rsidP="001C61BA">
            <w:pPr>
              <w:ind w:right="-29"/>
              <w:rPr>
                <w:color w:val="000000"/>
                <w:w w:val="105"/>
              </w:rPr>
            </w:pPr>
            <w:r>
              <w:rPr>
                <w:color w:val="000000"/>
                <w:w w:val="105"/>
              </w:rPr>
              <w:t>What patents and intellectual property are. Fundamental components of U.S. patent law.</w:t>
            </w:r>
          </w:p>
          <w:p w:rsidR="001C61BA" w:rsidRDefault="001C61BA">
            <w:pPr>
              <w:spacing w:line="256" w:lineRule="auto"/>
              <w:ind w:right="-29"/>
              <w:rPr>
                <w:color w:val="000000"/>
                <w:w w:val="105"/>
              </w:rPr>
            </w:pP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Wed</w:t>
            </w:r>
            <w:r>
              <w:rPr>
                <w:b/>
                <w:color w:val="000000"/>
                <w:w w:val="105"/>
              </w:rPr>
              <w:tab/>
              <w:t xml:space="preserve">Jan 12 </w:t>
            </w:r>
          </w:p>
        </w:tc>
        <w:tc>
          <w:tcPr>
            <w:tcW w:w="7830" w:type="dxa"/>
          </w:tcPr>
          <w:p w:rsidR="001C61BA" w:rsidRDefault="001C61BA" w:rsidP="001C61BA">
            <w:pPr>
              <w:ind w:right="-29"/>
              <w:rPr>
                <w:b/>
                <w:color w:val="000000"/>
                <w:w w:val="105"/>
              </w:rPr>
            </w:pPr>
            <w:r>
              <w:rPr>
                <w:b/>
                <w:color w:val="000000"/>
                <w:w w:val="105"/>
              </w:rPr>
              <w:t>Conditions for Patentability: “New and Useful”</w:t>
            </w:r>
          </w:p>
          <w:p w:rsidR="001C61BA" w:rsidRDefault="001C61BA" w:rsidP="001C61BA">
            <w:pPr>
              <w:ind w:right="-29"/>
              <w:rPr>
                <w:color w:val="000000"/>
                <w:w w:val="105"/>
              </w:rPr>
            </w:pPr>
            <w:r>
              <w:rPr>
                <w:color w:val="000000"/>
                <w:w w:val="105"/>
              </w:rPr>
              <w:t>Requirements for a patentable</w:t>
            </w:r>
            <w:r>
              <w:rPr>
                <w:b/>
                <w:color w:val="000000"/>
                <w:w w:val="105"/>
              </w:rPr>
              <w:t xml:space="preserve"> </w:t>
            </w:r>
            <w:r>
              <w:rPr>
                <w:color w:val="000000"/>
                <w:w w:val="105"/>
              </w:rPr>
              <w:t>invention: novelty, non-obviousness, and utility. New U.S. law of inventor priority (first to invent? first to file? first to disclose? or what?)</w:t>
            </w:r>
          </w:p>
          <w:p w:rsidR="001C61BA" w:rsidRDefault="001C61BA">
            <w:pPr>
              <w:spacing w:line="256" w:lineRule="auto"/>
              <w:ind w:right="-29"/>
              <w:rPr>
                <w:b/>
                <w:color w:val="000000"/>
                <w:w w:val="105"/>
              </w:rPr>
            </w:pP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Fri</w:t>
            </w:r>
            <w:r>
              <w:rPr>
                <w:b/>
                <w:color w:val="000000"/>
                <w:w w:val="105"/>
              </w:rPr>
              <w:tab/>
              <w:t>Jan 14</w:t>
            </w:r>
          </w:p>
        </w:tc>
        <w:tc>
          <w:tcPr>
            <w:tcW w:w="7830" w:type="dxa"/>
          </w:tcPr>
          <w:p w:rsidR="001C61BA" w:rsidRDefault="001C61BA" w:rsidP="001C61BA">
            <w:pPr>
              <w:ind w:right="-29"/>
              <w:rPr>
                <w:b/>
                <w:color w:val="000000"/>
                <w:w w:val="105"/>
              </w:rPr>
            </w:pPr>
            <w:r>
              <w:rPr>
                <w:b/>
                <w:color w:val="000000"/>
                <w:w w:val="105"/>
              </w:rPr>
              <w:t>Eligible Classes of Patentable Invention; Rights of Patent Ownership</w:t>
            </w:r>
          </w:p>
          <w:p w:rsidR="001C61BA" w:rsidRDefault="001C61BA" w:rsidP="001C61BA">
            <w:pPr>
              <w:ind w:right="-29"/>
              <w:rPr>
                <w:color w:val="000000"/>
                <w:w w:val="105"/>
              </w:rPr>
            </w:pPr>
            <w:r>
              <w:rPr>
                <w:color w:val="000000"/>
                <w:w w:val="105"/>
              </w:rPr>
              <w:t xml:space="preserve">Statutory subject matter and judicially recognized exceptions. To what extent can software be protected?  Business methods? Human genes? Patent rights. The right to exclude others vs. the exclusive right, especially in relation to improvement patents.   </w:t>
            </w:r>
          </w:p>
          <w:p w:rsidR="001C61BA" w:rsidRDefault="001C61BA">
            <w:pPr>
              <w:spacing w:line="256" w:lineRule="auto"/>
              <w:ind w:right="-29"/>
              <w:rPr>
                <w:color w:val="000000"/>
                <w:w w:val="105"/>
              </w:rPr>
            </w:pPr>
          </w:p>
        </w:tc>
      </w:tr>
      <w:tr w:rsidR="001C61BA" w:rsidTr="001C61BA">
        <w:tc>
          <w:tcPr>
            <w:tcW w:w="1728" w:type="dxa"/>
          </w:tcPr>
          <w:p w:rsidR="001C61BA" w:rsidRDefault="001C61BA">
            <w:pPr>
              <w:tabs>
                <w:tab w:val="left" w:pos="720"/>
              </w:tabs>
              <w:spacing w:line="360" w:lineRule="auto"/>
              <w:ind w:right="-29"/>
              <w:rPr>
                <w:i/>
                <w:color w:val="000000"/>
                <w:w w:val="105"/>
              </w:rPr>
            </w:pPr>
          </w:p>
        </w:tc>
        <w:tc>
          <w:tcPr>
            <w:tcW w:w="7830" w:type="dxa"/>
          </w:tcPr>
          <w:p w:rsidR="001C61BA" w:rsidRDefault="001C61BA" w:rsidP="001C61BA">
            <w:pPr>
              <w:ind w:right="-29"/>
              <w:rPr>
                <w:i/>
                <w:color w:val="000000"/>
                <w:w w:val="105"/>
              </w:rPr>
            </w:pPr>
            <w:r>
              <w:rPr>
                <w:i/>
                <w:color w:val="000000"/>
                <w:w w:val="105"/>
              </w:rPr>
              <w:t>(Mon, Jan 17: Martin Luther King, Jr. Holiday—No class meeting)</w:t>
            </w:r>
          </w:p>
          <w:p w:rsidR="001C61BA" w:rsidRDefault="001C61BA" w:rsidP="001C61BA">
            <w:pPr>
              <w:ind w:right="-29"/>
              <w:rPr>
                <w:i/>
                <w:color w:val="000000"/>
                <w:w w:val="105"/>
              </w:rPr>
            </w:pP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Wed</w:t>
            </w:r>
            <w:r>
              <w:rPr>
                <w:b/>
                <w:color w:val="000000"/>
                <w:w w:val="105"/>
              </w:rPr>
              <w:tab/>
              <w:t>Jan 19</w:t>
            </w:r>
          </w:p>
        </w:tc>
        <w:tc>
          <w:tcPr>
            <w:tcW w:w="7830" w:type="dxa"/>
            <w:hideMark/>
          </w:tcPr>
          <w:p w:rsidR="001C61BA" w:rsidRDefault="001C61BA" w:rsidP="001C61BA">
            <w:pPr>
              <w:ind w:right="-29"/>
              <w:rPr>
                <w:b/>
                <w:color w:val="000000"/>
                <w:w w:val="105"/>
              </w:rPr>
            </w:pPr>
            <w:r>
              <w:rPr>
                <w:b/>
                <w:color w:val="000000"/>
                <w:w w:val="105"/>
              </w:rPr>
              <w:t>Obtaining a Patent</w:t>
            </w:r>
          </w:p>
          <w:p w:rsidR="001C61BA" w:rsidRDefault="001C61BA" w:rsidP="001C61BA">
            <w:pPr>
              <w:ind w:right="-29"/>
              <w:rPr>
                <w:color w:val="000000"/>
                <w:w w:val="105"/>
              </w:rPr>
            </w:pPr>
            <w:r>
              <w:rPr>
                <w:color w:val="000000"/>
                <w:w w:val="105"/>
              </w:rPr>
              <w:t xml:space="preserve">The process of applying for a patent. Contents of the patent application, especially the specification. The role of the patent search. In-class demonstration of patent search tools available to MIT students. </w:t>
            </w:r>
          </w:p>
          <w:p w:rsidR="001C61BA" w:rsidRDefault="001C61BA" w:rsidP="001C61BA">
            <w:pPr>
              <w:ind w:right="-29"/>
              <w:rPr>
                <w:color w:val="000000"/>
                <w:w w:val="105"/>
              </w:rPr>
            </w:pPr>
            <w:r>
              <w:rPr>
                <w:color w:val="000000"/>
                <w:w w:val="105"/>
              </w:rPr>
              <w:t xml:space="preserve">  </w:t>
            </w: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Fri</w:t>
            </w:r>
            <w:r>
              <w:rPr>
                <w:b/>
                <w:color w:val="000000"/>
                <w:w w:val="105"/>
              </w:rPr>
              <w:tab/>
              <w:t>Jan 21</w:t>
            </w:r>
          </w:p>
        </w:tc>
        <w:tc>
          <w:tcPr>
            <w:tcW w:w="7830" w:type="dxa"/>
            <w:hideMark/>
          </w:tcPr>
          <w:p w:rsidR="001C61BA" w:rsidRDefault="001C61BA" w:rsidP="001C61BA">
            <w:pPr>
              <w:ind w:right="-29"/>
              <w:rPr>
                <w:b/>
                <w:color w:val="000000"/>
                <w:w w:val="105"/>
              </w:rPr>
            </w:pPr>
            <w:r>
              <w:rPr>
                <w:b/>
                <w:color w:val="000000"/>
                <w:w w:val="105"/>
              </w:rPr>
              <w:t xml:space="preserve">Patent Claims; Patent Licenses and the MIT TLO     </w:t>
            </w:r>
          </w:p>
          <w:p w:rsidR="001C61BA" w:rsidRDefault="001C61BA" w:rsidP="001C61BA">
            <w:pPr>
              <w:ind w:right="-29"/>
              <w:rPr>
                <w:color w:val="000000"/>
                <w:w w:val="105"/>
              </w:rPr>
            </w:pPr>
            <w:r>
              <w:rPr>
                <w:color w:val="000000"/>
                <w:w w:val="105"/>
              </w:rPr>
              <w:t xml:space="preserve">The scope, language, and structure of patent claims. Introduction to patent licenses and to the MIT Technology Licensing Office (TLO) </w:t>
            </w:r>
          </w:p>
          <w:p w:rsidR="001C61BA" w:rsidRDefault="001C61BA" w:rsidP="001C61BA">
            <w:pPr>
              <w:ind w:right="-29"/>
              <w:rPr>
                <w:color w:val="000000"/>
                <w:w w:val="105"/>
              </w:rPr>
            </w:pPr>
            <w:r>
              <w:rPr>
                <w:color w:val="000000"/>
                <w:w w:val="105"/>
              </w:rPr>
              <w:t xml:space="preserve"> </w:t>
            </w: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Mon</w:t>
            </w:r>
            <w:r>
              <w:rPr>
                <w:b/>
                <w:color w:val="000000"/>
                <w:w w:val="105"/>
              </w:rPr>
              <w:tab/>
              <w:t>Jan 24</w:t>
            </w:r>
          </w:p>
        </w:tc>
        <w:tc>
          <w:tcPr>
            <w:tcW w:w="7830" w:type="dxa"/>
            <w:hideMark/>
          </w:tcPr>
          <w:p w:rsidR="001C61BA" w:rsidRDefault="00127D66" w:rsidP="001C61BA">
            <w:pPr>
              <w:ind w:right="-29"/>
              <w:rPr>
                <w:b/>
                <w:color w:val="000000"/>
                <w:w w:val="105"/>
              </w:rPr>
            </w:pPr>
            <w:r>
              <w:rPr>
                <w:b/>
                <w:color w:val="000000"/>
                <w:w w:val="105"/>
              </w:rPr>
              <w:t>Infringement, D</w:t>
            </w:r>
            <w:bookmarkStart w:id="0" w:name="_GoBack"/>
            <w:bookmarkEnd w:id="0"/>
            <w:r w:rsidR="001C61BA">
              <w:rPr>
                <w:b/>
                <w:color w:val="000000"/>
                <w:w w:val="105"/>
              </w:rPr>
              <w:t>efenses, and Remedies; Other Intellectual Property</w:t>
            </w:r>
          </w:p>
          <w:p w:rsidR="001C61BA" w:rsidRDefault="001C61BA" w:rsidP="001C61BA">
            <w:pPr>
              <w:ind w:right="-29"/>
              <w:rPr>
                <w:color w:val="000000"/>
                <w:w w:val="105"/>
              </w:rPr>
            </w:pPr>
            <w:r>
              <w:rPr>
                <w:color w:val="000000"/>
                <w:w w:val="105"/>
              </w:rPr>
              <w:t>Literal infringement and the doctrine of equivalents. Patent invalidity and other defenses. Legal and equitable remedies. Overview of the other forms of intellectual (copyrights, trade secrets, and trademarks) and how these differ from patents.</w:t>
            </w:r>
          </w:p>
          <w:p w:rsidR="001C61BA" w:rsidRDefault="001C61BA" w:rsidP="001C61BA">
            <w:pPr>
              <w:ind w:right="-29"/>
              <w:rPr>
                <w:color w:val="000000"/>
                <w:w w:val="105"/>
              </w:rPr>
            </w:pPr>
            <w:r>
              <w:rPr>
                <w:color w:val="000000"/>
                <w:w w:val="105"/>
              </w:rPr>
              <w:t xml:space="preserve"> </w:t>
            </w:r>
          </w:p>
        </w:tc>
      </w:tr>
      <w:tr w:rsidR="001C61BA" w:rsidTr="001C61BA">
        <w:tc>
          <w:tcPr>
            <w:tcW w:w="1728" w:type="dxa"/>
            <w:hideMark/>
          </w:tcPr>
          <w:p w:rsidR="001C61BA" w:rsidRDefault="001C61BA">
            <w:pPr>
              <w:tabs>
                <w:tab w:val="left" w:pos="720"/>
              </w:tabs>
              <w:spacing w:line="360" w:lineRule="auto"/>
              <w:ind w:right="-29"/>
              <w:rPr>
                <w:b/>
                <w:color w:val="000000"/>
                <w:w w:val="105"/>
              </w:rPr>
            </w:pPr>
            <w:r>
              <w:rPr>
                <w:b/>
                <w:color w:val="000000"/>
                <w:w w:val="105"/>
              </w:rPr>
              <w:t>Wed</w:t>
            </w:r>
            <w:r>
              <w:rPr>
                <w:b/>
                <w:color w:val="000000"/>
                <w:w w:val="105"/>
              </w:rPr>
              <w:tab/>
              <w:t>Jan 26</w:t>
            </w:r>
          </w:p>
        </w:tc>
        <w:tc>
          <w:tcPr>
            <w:tcW w:w="7830" w:type="dxa"/>
            <w:hideMark/>
          </w:tcPr>
          <w:p w:rsidR="001C61BA" w:rsidRDefault="001C61BA" w:rsidP="001C61BA">
            <w:pPr>
              <w:ind w:right="-29"/>
              <w:rPr>
                <w:b/>
                <w:color w:val="000000"/>
                <w:w w:val="105"/>
              </w:rPr>
            </w:pPr>
            <w:r>
              <w:rPr>
                <w:b/>
                <w:color w:val="000000"/>
                <w:w w:val="105"/>
              </w:rPr>
              <w:t xml:space="preserve">End-of-Term Quiz </w:t>
            </w:r>
            <w:r>
              <w:rPr>
                <w:color w:val="000000"/>
                <w:w w:val="105"/>
              </w:rPr>
              <w:t>(for students taking 15.620 for credit)</w:t>
            </w:r>
          </w:p>
        </w:tc>
      </w:tr>
    </w:tbl>
    <w:p w:rsidR="00C02DA3" w:rsidRPr="00445A45" w:rsidRDefault="00C02DA3" w:rsidP="00445A45">
      <w:pPr>
        <w:rPr>
          <w:i/>
          <w:color w:val="000000"/>
          <w:spacing w:val="-4"/>
          <w:w w:val="105"/>
        </w:rPr>
      </w:pPr>
    </w:p>
    <w:sectPr w:rsidR="00C02DA3" w:rsidRPr="00445A45" w:rsidSect="001C61B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45"/>
    <w:rsid w:val="00127D66"/>
    <w:rsid w:val="001C61BA"/>
    <w:rsid w:val="00445A45"/>
    <w:rsid w:val="00B81CCC"/>
    <w:rsid w:val="00C0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3BD5"/>
  <w15:chartTrackingRefBased/>
  <w15:docId w15:val="{6D0E127F-26A1-4278-82D2-46A04739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4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45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meldman@m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6AAF-8FA3-44B3-A050-88986B03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3052</Characters>
  <Application>Microsoft Office Word</Application>
  <DocSecurity>0</DocSecurity>
  <Lines>25</Lines>
  <Paragraphs>7</Paragraphs>
  <ScaleCrop>false</ScaleCrop>
  <Company>Massachusetts Institute of Technology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Jmeldman</dc:creator>
  <cp:keywords/>
  <dc:description/>
  <cp:lastModifiedBy>Jmeldman</cp:lastModifiedBy>
  <cp:revision>4</cp:revision>
  <dcterms:created xsi:type="dcterms:W3CDTF">2021-11-12T20:44:00Z</dcterms:created>
  <dcterms:modified xsi:type="dcterms:W3CDTF">2021-11-12T21:45:00Z</dcterms:modified>
</cp:coreProperties>
</file>